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F1" w:rsidRDefault="004B00F1" w:rsidP="004B00F1">
      <w:pPr>
        <w:pStyle w:val="Titlu2"/>
        <w:rPr>
          <w:b w:val="0"/>
          <w:sz w:val="22"/>
          <w:szCs w:val="22"/>
        </w:rPr>
      </w:pPr>
      <w:r>
        <w:rPr>
          <w:b w:val="0"/>
          <w:sz w:val="22"/>
          <w:szCs w:val="22"/>
        </w:rPr>
        <w:t xml:space="preserve">PROIECT DE DECIZIE nr.24/2 </w:t>
      </w:r>
    </w:p>
    <w:p w:rsidR="004B00F1" w:rsidRDefault="004B00F1" w:rsidP="004B00F1">
      <w:pPr>
        <w:pStyle w:val="Titlu2"/>
        <w:rPr>
          <w:b w:val="0"/>
          <w:sz w:val="22"/>
          <w:szCs w:val="22"/>
        </w:rPr>
      </w:pPr>
      <w:r>
        <w:rPr>
          <w:b w:val="0"/>
          <w:sz w:val="22"/>
          <w:szCs w:val="22"/>
        </w:rPr>
        <w:t>din 10.12.2018</w:t>
      </w:r>
    </w:p>
    <w:p w:rsidR="004B00F1" w:rsidRDefault="004B00F1" w:rsidP="004B00F1">
      <w:pPr>
        <w:pStyle w:val="Titlu2"/>
        <w:jc w:val="left"/>
        <w:rPr>
          <w:b w:val="0"/>
          <w:sz w:val="22"/>
          <w:szCs w:val="22"/>
        </w:rPr>
      </w:pPr>
      <w:r>
        <w:rPr>
          <w:b w:val="0"/>
          <w:sz w:val="22"/>
          <w:szCs w:val="22"/>
        </w:rPr>
        <w:t xml:space="preserve">„Cu privire la transmiterea în locațiune </w:t>
      </w:r>
    </w:p>
    <w:p w:rsidR="004B00F1" w:rsidRDefault="004B00F1" w:rsidP="004B00F1">
      <w:pPr>
        <w:pStyle w:val="Titlu2"/>
        <w:jc w:val="left"/>
        <w:rPr>
          <w:b w:val="0"/>
          <w:sz w:val="22"/>
          <w:szCs w:val="22"/>
        </w:rPr>
      </w:pPr>
      <w:r>
        <w:rPr>
          <w:b w:val="0"/>
          <w:sz w:val="22"/>
          <w:szCs w:val="22"/>
        </w:rPr>
        <w:t>a încăperii nelocuibile”</w:t>
      </w:r>
    </w:p>
    <w:p w:rsidR="004B00F1" w:rsidRDefault="004B00F1" w:rsidP="004B00F1">
      <w:pPr>
        <w:pStyle w:val="Titlu2"/>
        <w:jc w:val="left"/>
        <w:rPr>
          <w:b w:val="0"/>
          <w:sz w:val="22"/>
          <w:szCs w:val="22"/>
        </w:rPr>
      </w:pPr>
      <w:r>
        <w:rPr>
          <w:b w:val="0"/>
          <w:sz w:val="22"/>
          <w:szCs w:val="22"/>
        </w:rPr>
        <w:tab/>
      </w:r>
    </w:p>
    <w:p w:rsidR="004B00F1" w:rsidRDefault="004B00F1" w:rsidP="004B00F1">
      <w:pPr>
        <w:pStyle w:val="Titlu2"/>
        <w:jc w:val="left"/>
        <w:rPr>
          <w:b w:val="0"/>
          <w:sz w:val="22"/>
          <w:szCs w:val="22"/>
        </w:rPr>
      </w:pPr>
      <w:r>
        <w:rPr>
          <w:b w:val="0"/>
          <w:sz w:val="22"/>
          <w:szCs w:val="22"/>
        </w:rPr>
        <w:t xml:space="preserve">  În temeiul art.3 (2).art.14 p.2 lit.b,c, art.77 p.3 al Legii privind administrația publică locală(nr.436-XVI din 28.12.2006),art.9 (2)lit.h  privind administrarea și deetatizarea proprietății publice (nr.121-XVI din 04.05.2007),  art.875-910 Codul Civil al RM, HG nr.901 din 31.12.2005 cu privire la aprobarea Regulamentului cu privire la modul de transmitere a bunurilor proprietate publică , anexa nr.7 a Legii bugetului de Stat pentru anul 2018 (nr.289 din 15.12.2017, Consiliul comunal Pîrlița </w:t>
      </w:r>
    </w:p>
    <w:p w:rsidR="004B00F1" w:rsidRDefault="004B00F1" w:rsidP="004B00F1">
      <w:pPr>
        <w:pStyle w:val="Titlu2"/>
        <w:rPr>
          <w:b w:val="0"/>
          <w:sz w:val="22"/>
          <w:szCs w:val="22"/>
        </w:rPr>
      </w:pPr>
      <w:r>
        <w:rPr>
          <w:b w:val="0"/>
          <w:sz w:val="22"/>
          <w:szCs w:val="22"/>
        </w:rPr>
        <w:t>Decide:</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1. Se transmite în locațiune încăperea nelocuibilă  cu suprafața totală de 119 m.p.,S.R.L.” Chiva Stili”  în persoana directorului Chițan Lilia,  pe un termen de 1(unu) ani.</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2.  A-l autoriza pe Gheorghe Buzurniuc, primarul comunei, să semneze contractul de locațiune și actul de transmitere -primire.</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3 . Se crează comisia de transmitere în următoarea componență:</w:t>
      </w:r>
    </w:p>
    <w:p w:rsidR="004B00F1" w:rsidRDefault="004B00F1" w:rsidP="004B00F1">
      <w:pPr>
        <w:pStyle w:val="Titlu2"/>
        <w:jc w:val="left"/>
        <w:rPr>
          <w:b w:val="0"/>
          <w:sz w:val="22"/>
          <w:szCs w:val="22"/>
        </w:rPr>
      </w:pPr>
      <w:r>
        <w:rPr>
          <w:b w:val="0"/>
          <w:sz w:val="22"/>
          <w:szCs w:val="22"/>
        </w:rPr>
        <w:t>1. Babii Anatolie, consilier, președintele comisiei</w:t>
      </w:r>
    </w:p>
    <w:p w:rsidR="004B00F1" w:rsidRDefault="004B00F1" w:rsidP="004B00F1">
      <w:pPr>
        <w:pStyle w:val="Titlu2"/>
        <w:jc w:val="left"/>
        <w:rPr>
          <w:b w:val="0"/>
          <w:sz w:val="22"/>
          <w:szCs w:val="22"/>
        </w:rPr>
      </w:pPr>
      <w:r>
        <w:rPr>
          <w:b w:val="0"/>
          <w:sz w:val="22"/>
          <w:szCs w:val="22"/>
        </w:rPr>
        <w:t>2. Mihailiuc Zinaida, contabil-șef, secretarul comisiei</w:t>
      </w:r>
    </w:p>
    <w:p w:rsidR="004B00F1" w:rsidRDefault="004B00F1" w:rsidP="004B00F1">
      <w:pPr>
        <w:pStyle w:val="Titlu2"/>
        <w:jc w:val="left"/>
        <w:rPr>
          <w:b w:val="0"/>
          <w:sz w:val="22"/>
          <w:szCs w:val="22"/>
        </w:rPr>
      </w:pPr>
      <w:r>
        <w:rPr>
          <w:b w:val="0"/>
          <w:sz w:val="22"/>
          <w:szCs w:val="22"/>
        </w:rPr>
        <w:t>3. Ciobanu Diana, secretarul consiliului, membru</w:t>
      </w:r>
    </w:p>
    <w:p w:rsidR="004B00F1" w:rsidRDefault="004B00F1" w:rsidP="004B00F1">
      <w:pPr>
        <w:pStyle w:val="Titlu2"/>
        <w:jc w:val="left"/>
        <w:rPr>
          <w:b w:val="0"/>
          <w:sz w:val="22"/>
          <w:szCs w:val="22"/>
        </w:rPr>
      </w:pPr>
      <w:r>
        <w:rPr>
          <w:b w:val="0"/>
          <w:sz w:val="22"/>
          <w:szCs w:val="22"/>
        </w:rPr>
        <w:t>4. Mazniuc Ivan, consilier, membru</w:t>
      </w:r>
    </w:p>
    <w:p w:rsidR="004B00F1" w:rsidRDefault="004B00F1" w:rsidP="004B00F1">
      <w:pPr>
        <w:pStyle w:val="Titlu2"/>
        <w:jc w:val="left"/>
        <w:rPr>
          <w:b w:val="0"/>
          <w:sz w:val="22"/>
          <w:szCs w:val="22"/>
        </w:rPr>
      </w:pPr>
      <w:r>
        <w:rPr>
          <w:b w:val="0"/>
          <w:sz w:val="22"/>
          <w:szCs w:val="22"/>
        </w:rPr>
        <w:t>5. Cazac Igor,consilier, membru</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4. Se stabilește că transmiterea va avea loc în conformitate cu Codul Civil al RM și Regulamentului cu privire la transmiterea întreprinderilor de stat, organizațiilor, instituțiilor,a subdiviziunilor   lor,  clădirilor,construcțiilor, mijloacelor fixe și altor active.</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5. Se stabiliște achitarea chiriei în mărime  de 50%  din suma calculată, restul sumei să fie folosiți pentru reparația încăperii.</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6.Controlul îndeplinirii prezentei decizii se pune în sarcina d-lui Ghgeorghe Buzurniuc,primarul comunei.</w:t>
      </w:r>
    </w:p>
    <w:p w:rsidR="004B00F1" w:rsidRDefault="004B00F1" w:rsidP="004B00F1">
      <w:pPr>
        <w:pStyle w:val="Titlu2"/>
        <w:jc w:val="left"/>
        <w:rPr>
          <w:b w:val="0"/>
          <w:sz w:val="22"/>
          <w:szCs w:val="22"/>
        </w:rPr>
      </w:pPr>
    </w:p>
    <w:p w:rsidR="004B00F1" w:rsidRDefault="004B00F1" w:rsidP="004B00F1">
      <w:pPr>
        <w:pStyle w:val="Titlu2"/>
        <w:jc w:val="left"/>
        <w:rPr>
          <w:b w:val="0"/>
          <w:sz w:val="22"/>
          <w:szCs w:val="22"/>
        </w:rPr>
      </w:pPr>
      <w:r>
        <w:rPr>
          <w:b w:val="0"/>
          <w:sz w:val="22"/>
          <w:szCs w:val="22"/>
        </w:rPr>
        <w:t xml:space="preserve">                                       </w:t>
      </w:r>
    </w:p>
    <w:p w:rsidR="004B00F1" w:rsidRDefault="004B00F1" w:rsidP="004B00F1">
      <w:pPr>
        <w:pStyle w:val="Titlu2"/>
        <w:jc w:val="left"/>
        <w:rPr>
          <w:b w:val="0"/>
          <w:sz w:val="22"/>
          <w:szCs w:val="22"/>
        </w:rPr>
      </w:pPr>
    </w:p>
    <w:p w:rsidR="004B00F1" w:rsidRDefault="004B00F1" w:rsidP="004B00F1">
      <w:pPr>
        <w:rPr>
          <w:rFonts w:ascii="Times New Roman" w:hAnsi="Times New Roman" w:cs="Times New Roman"/>
          <w:lang w:val="ro-RO"/>
        </w:rPr>
      </w:pPr>
      <w:r>
        <w:rPr>
          <w:rFonts w:ascii="Times New Roman" w:hAnsi="Times New Roman" w:cs="Times New Roman"/>
          <w:lang w:val="ro-RO"/>
        </w:rPr>
        <w:t>A elaborat:</w:t>
      </w:r>
    </w:p>
    <w:p w:rsidR="004B00F1" w:rsidRDefault="004B00F1" w:rsidP="004B00F1">
      <w:pPr>
        <w:rPr>
          <w:rFonts w:ascii="Times New Roman" w:hAnsi="Times New Roman" w:cs="Times New Roman"/>
          <w:lang w:val="ro-RO"/>
        </w:rPr>
      </w:pPr>
      <w:r>
        <w:rPr>
          <w:rFonts w:ascii="Times New Roman" w:hAnsi="Times New Roman" w:cs="Times New Roman"/>
          <w:lang w:val="ro-RO"/>
        </w:rPr>
        <w:t>Ciobanu Diana,</w:t>
      </w:r>
    </w:p>
    <w:p w:rsidR="004B00F1" w:rsidRDefault="004B00F1" w:rsidP="004B00F1">
      <w:pPr>
        <w:rPr>
          <w:rFonts w:ascii="Times New Roman" w:hAnsi="Times New Roman" w:cs="Times New Roman"/>
          <w:lang w:val="ro-RO"/>
        </w:rPr>
      </w:pPr>
      <w:r>
        <w:rPr>
          <w:rFonts w:ascii="Times New Roman" w:hAnsi="Times New Roman" w:cs="Times New Roman"/>
          <w:lang w:val="ro-RO"/>
        </w:rPr>
        <w:t>Secretarul consiliului comunal Pîrlița</w:t>
      </w:r>
    </w:p>
    <w:p w:rsidR="004B00F1" w:rsidRDefault="004B00F1" w:rsidP="004B00F1">
      <w:pPr>
        <w:pStyle w:val="Titlu2"/>
        <w:jc w:val="left"/>
        <w:rPr>
          <w:b w:val="0"/>
          <w:sz w:val="22"/>
          <w:szCs w:val="22"/>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p>
    <w:p w:rsidR="004B00F1" w:rsidRDefault="004B00F1" w:rsidP="004B00F1">
      <w:pPr>
        <w:jc w:val="center"/>
        <w:rPr>
          <w:rFonts w:ascii="Times New Roman" w:hAnsi="Times New Roman" w:cs="Times New Roman"/>
          <w:lang w:val="ro-RO"/>
        </w:rPr>
      </w:pPr>
      <w:r>
        <w:rPr>
          <w:rFonts w:ascii="Times New Roman" w:hAnsi="Times New Roman" w:cs="Times New Roman"/>
          <w:lang w:val="ro-RO"/>
        </w:rPr>
        <w:lastRenderedPageBreak/>
        <w:t>NOTĂ INFORMATIVĂ LA</w:t>
      </w:r>
    </w:p>
    <w:p w:rsidR="004B00F1" w:rsidRDefault="004B00F1" w:rsidP="004B00F1">
      <w:pPr>
        <w:pStyle w:val="Titlu2"/>
        <w:rPr>
          <w:b w:val="0"/>
          <w:sz w:val="22"/>
          <w:szCs w:val="22"/>
        </w:rPr>
      </w:pPr>
      <w:r>
        <w:rPr>
          <w:b w:val="0"/>
          <w:sz w:val="22"/>
          <w:szCs w:val="22"/>
        </w:rPr>
        <w:t>PROIECT DE DECIZIE nr.24/2</w:t>
      </w:r>
    </w:p>
    <w:p w:rsidR="004B00F1" w:rsidRDefault="004B00F1" w:rsidP="004B00F1">
      <w:pPr>
        <w:pStyle w:val="Titlu2"/>
        <w:rPr>
          <w:b w:val="0"/>
          <w:sz w:val="22"/>
          <w:szCs w:val="22"/>
        </w:rPr>
      </w:pPr>
      <w:r>
        <w:rPr>
          <w:b w:val="0"/>
          <w:sz w:val="22"/>
          <w:szCs w:val="22"/>
        </w:rPr>
        <w:t>din 10.12.2018</w:t>
      </w:r>
    </w:p>
    <w:p w:rsidR="004B00F1" w:rsidRDefault="004B00F1" w:rsidP="004B00F1">
      <w:pPr>
        <w:pStyle w:val="Titlu2"/>
        <w:rPr>
          <w:b w:val="0"/>
          <w:sz w:val="22"/>
          <w:szCs w:val="22"/>
        </w:rPr>
      </w:pPr>
      <w:r>
        <w:rPr>
          <w:b w:val="0"/>
          <w:sz w:val="22"/>
          <w:szCs w:val="22"/>
        </w:rPr>
        <w:t>„Cu privire la transmiterea în locațiune</w:t>
      </w:r>
    </w:p>
    <w:p w:rsidR="004B00F1" w:rsidRDefault="004B00F1" w:rsidP="004B00F1">
      <w:pPr>
        <w:pStyle w:val="Titlu2"/>
        <w:rPr>
          <w:b w:val="0"/>
          <w:sz w:val="22"/>
          <w:szCs w:val="22"/>
        </w:rPr>
      </w:pPr>
      <w:r>
        <w:rPr>
          <w:b w:val="0"/>
          <w:sz w:val="22"/>
          <w:szCs w:val="22"/>
        </w:rPr>
        <w:t>a încăperii nelocuibile”</w:t>
      </w:r>
    </w:p>
    <w:p w:rsidR="004B00F1" w:rsidRDefault="004B00F1" w:rsidP="004B00F1">
      <w:pPr>
        <w:jc w:val="center"/>
        <w:rPr>
          <w:rFonts w:ascii="Times New Roman" w:hAnsi="Times New Roman" w:cs="Times New Roman"/>
          <w:lang w:val="ro-RO"/>
        </w:rPr>
      </w:pPr>
    </w:p>
    <w:p w:rsidR="004B00F1" w:rsidRDefault="004B00F1" w:rsidP="004B00F1">
      <w:pPr>
        <w:rPr>
          <w:rFonts w:ascii="Times New Roman" w:hAnsi="Times New Roman" w:cs="Times New Roman"/>
          <w:lang w:val="ro-RO"/>
        </w:rPr>
      </w:pPr>
      <w:r>
        <w:rPr>
          <w:rFonts w:ascii="Times New Roman" w:hAnsi="Times New Roman" w:cs="Times New Roman"/>
          <w:lang w:val="ro-RO"/>
        </w:rPr>
        <w:t xml:space="preserve">1. Denumirea autorului și , după caz, a participanților la elaborarea proiectului. </w:t>
      </w:r>
    </w:p>
    <w:p w:rsidR="004B00F1" w:rsidRDefault="004B00F1" w:rsidP="004B00F1">
      <w:pPr>
        <w:rPr>
          <w:rFonts w:ascii="Times New Roman" w:hAnsi="Times New Roman" w:cs="Times New Roman"/>
          <w:lang w:val="ro-RO"/>
        </w:rPr>
      </w:pPr>
      <w:r>
        <w:rPr>
          <w:rFonts w:ascii="Times New Roman" w:hAnsi="Times New Roman" w:cs="Times New Roman"/>
          <w:lang w:val="ro-RO"/>
        </w:rPr>
        <w:t>Primăria comunei Pîrlița.</w:t>
      </w:r>
    </w:p>
    <w:p w:rsidR="004B00F1" w:rsidRDefault="004B00F1" w:rsidP="004B00F1">
      <w:pPr>
        <w:rPr>
          <w:rFonts w:ascii="Times New Roman" w:hAnsi="Times New Roman" w:cs="Times New Roman"/>
          <w:lang w:val="ro-RO"/>
        </w:rPr>
      </w:pPr>
      <w:r>
        <w:rPr>
          <w:rFonts w:ascii="Times New Roman" w:hAnsi="Times New Roman" w:cs="Times New Roman"/>
          <w:lang w:val="ro-RO"/>
        </w:rPr>
        <w:t>2. Condițiile ce au impus elaborarea proiectului de decizie.</w:t>
      </w:r>
    </w:p>
    <w:p w:rsidR="004B00F1" w:rsidRDefault="004B00F1" w:rsidP="004B00F1">
      <w:pPr>
        <w:rPr>
          <w:rFonts w:ascii="Times New Roman" w:hAnsi="Times New Roman" w:cs="Times New Roman"/>
          <w:lang w:val="ro-RO"/>
        </w:rPr>
      </w:pPr>
      <w:r>
        <w:rPr>
          <w:rFonts w:ascii="Times New Roman" w:hAnsi="Times New Roman" w:cs="Times New Roman"/>
          <w:lang w:val="ro-RO"/>
        </w:rPr>
        <w:t xml:space="preserve">În temeiul </w:t>
      </w:r>
      <w:proofErr w:type="spellStart"/>
      <w:r>
        <w:rPr>
          <w:rFonts w:ascii="Times New Roman" w:hAnsi="Times New Roman" w:cs="Times New Roman"/>
          <w:lang w:val="en-US"/>
        </w:rPr>
        <w:t>cererii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parvenită</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partea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directorului</w:t>
      </w:r>
      <w:proofErr w:type="spellEnd"/>
      <w:r>
        <w:rPr>
          <w:rFonts w:ascii="Times New Roman" w:hAnsi="Times New Roman" w:cs="Times New Roman"/>
          <w:lang w:val="en-US"/>
        </w:rPr>
        <w:t xml:space="preserve"> SRL „</w:t>
      </w:r>
      <w:proofErr w:type="spellStart"/>
      <w:r>
        <w:rPr>
          <w:rFonts w:ascii="Times New Roman" w:hAnsi="Times New Roman" w:cs="Times New Roman"/>
          <w:lang w:val="en-US"/>
        </w:rPr>
        <w:t>Chiva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Stili</w:t>
      </w:r>
      <w:proofErr w:type="spellEnd"/>
      <w:r>
        <w:rPr>
          <w:rFonts w:ascii="Times New Roman" w:hAnsi="Times New Roman" w:cs="Times New Roman"/>
          <w:lang w:val="en-US"/>
        </w:rPr>
        <w:t>”,</w:t>
      </w:r>
      <w:proofErr w:type="spellStart"/>
      <w:r>
        <w:rPr>
          <w:rFonts w:ascii="Times New Roman" w:hAnsi="Times New Roman" w:cs="Times New Roman"/>
          <w:lang w:val="en-US"/>
        </w:rPr>
        <w:t>Chițan</w:t>
      </w:r>
      <w:proofErr w:type="spellEnd"/>
      <w:r>
        <w:rPr>
          <w:rFonts w:ascii="Times New Roman" w:hAnsi="Times New Roman" w:cs="Times New Roman"/>
          <w:lang w:val="en-US"/>
        </w:rPr>
        <w:t xml:space="preserve"> Lilia de a </w:t>
      </w:r>
      <w:proofErr w:type="spellStart"/>
      <w:r>
        <w:rPr>
          <w:rFonts w:ascii="Times New Roman" w:hAnsi="Times New Roman" w:cs="Times New Roman"/>
          <w:lang w:val="en-US"/>
        </w:rPr>
        <w:t>lua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locațiune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încăperea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nelocuibilă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folosirea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scopul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activității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filiale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croitorie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Suprafața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totală</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încăperii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constituie</w:t>
      </w:r>
      <w:proofErr w:type="spellEnd"/>
      <w:r>
        <w:rPr>
          <w:rFonts w:ascii="Times New Roman" w:hAnsi="Times New Roman" w:cs="Times New Roman"/>
          <w:lang w:val="en-US"/>
        </w:rPr>
        <w:t xml:space="preserve"> 119 </w:t>
      </w:r>
      <w:proofErr w:type="spellStart"/>
      <w:r>
        <w:rPr>
          <w:rFonts w:ascii="Times New Roman" w:hAnsi="Times New Roman" w:cs="Times New Roman"/>
          <w:lang w:val="en-US"/>
        </w:rPr>
        <w:t>m.</w:t>
      </w:r>
      <w:proofErr w:type="gramStart"/>
      <w:r>
        <w:rPr>
          <w:rFonts w:ascii="Times New Roman" w:hAnsi="Times New Roman" w:cs="Times New Roman"/>
          <w:lang w:val="en-US"/>
        </w:rPr>
        <w:t>p.Încăperea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este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administrației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publice</w:t>
      </w:r>
      <w:proofErr w:type="spellEnd"/>
      <w:r>
        <w:rPr>
          <w:rFonts w:ascii="Times New Roman" w:hAnsi="Times New Roman" w:cs="Times New Roman"/>
          <w:lang w:val="en-US"/>
        </w:rPr>
        <w:t xml:space="preserve"> locale.</w:t>
      </w:r>
      <w:r>
        <w:rPr>
          <w:rFonts w:ascii="Times New Roman" w:hAnsi="Times New Roman" w:cs="Times New Roman"/>
          <w:lang w:val="ro-RO"/>
        </w:rPr>
        <w:t xml:space="preserve"> Scopul deschiderii filialei de croitorie – de a încadra în cîmpul muncii populația din s. Pîrlița.</w:t>
      </w:r>
    </w:p>
    <w:p w:rsidR="004B00F1" w:rsidRDefault="004B00F1" w:rsidP="004B00F1">
      <w:pPr>
        <w:rPr>
          <w:rFonts w:ascii="Times New Roman" w:hAnsi="Times New Roman" w:cs="Times New Roman"/>
          <w:lang w:val="ro-RO"/>
        </w:rPr>
      </w:pPr>
      <w:r>
        <w:rPr>
          <w:rFonts w:ascii="Times New Roman" w:hAnsi="Times New Roman" w:cs="Times New Roman"/>
          <w:lang w:val="ro-RO"/>
        </w:rPr>
        <w:t>2. Conformitatea proiectului cu actele normative:</w:t>
      </w:r>
    </w:p>
    <w:p w:rsidR="004B00F1" w:rsidRDefault="004B00F1" w:rsidP="004B00F1">
      <w:pPr>
        <w:rPr>
          <w:rFonts w:ascii="Times New Roman" w:hAnsi="Times New Roman" w:cs="Times New Roman"/>
          <w:lang w:val="ro-RO"/>
        </w:rPr>
      </w:pPr>
      <w:r>
        <w:rPr>
          <w:rFonts w:ascii="Times New Roman" w:hAnsi="Times New Roman" w:cs="Times New Roman"/>
          <w:lang w:val="ro-RO"/>
        </w:rPr>
        <w:t>Proiectul de decizie respectă prevederile actelor  normative și legislative actuale și este elaborat în vederea implimentării Legii nr.239 din 13.11.2008 privind transparența în procesul decizional și legii nr.100 din 22.12.2017 cu privire la actele normative.</w:t>
      </w:r>
    </w:p>
    <w:p w:rsidR="004B00F1" w:rsidRDefault="004B00F1" w:rsidP="004B00F1">
      <w:pPr>
        <w:rPr>
          <w:rFonts w:ascii="Times New Roman" w:hAnsi="Times New Roman" w:cs="Times New Roman"/>
          <w:lang w:val="ro-RO"/>
        </w:rPr>
      </w:pPr>
      <w:r>
        <w:rPr>
          <w:rFonts w:ascii="Times New Roman" w:hAnsi="Times New Roman" w:cs="Times New Roman"/>
          <w:lang w:val="ro-RO"/>
        </w:rPr>
        <w:t>3. Principalele prevederi:</w:t>
      </w:r>
    </w:p>
    <w:p w:rsidR="004B00F1" w:rsidRDefault="004B00F1" w:rsidP="004B00F1">
      <w:pPr>
        <w:rPr>
          <w:rFonts w:ascii="Times New Roman" w:hAnsi="Times New Roman" w:cs="Times New Roman"/>
          <w:lang w:val="ro-RO"/>
        </w:rPr>
      </w:pPr>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temeiul</w:t>
      </w:r>
      <w:proofErr w:type="spellEnd"/>
      <w:r>
        <w:rPr>
          <w:rFonts w:ascii="Times New Roman" w:hAnsi="Times New Roman" w:cs="Times New Roman"/>
          <w:lang w:val="en-US"/>
        </w:rPr>
        <w:t xml:space="preserve"> art.3 (2).art.14 p.2 </w:t>
      </w:r>
      <w:proofErr w:type="spellStart"/>
      <w:r>
        <w:rPr>
          <w:rFonts w:ascii="Times New Roman" w:hAnsi="Times New Roman" w:cs="Times New Roman"/>
          <w:lang w:val="en-US"/>
        </w:rPr>
        <w:t>lit.b,c</w:t>
      </w:r>
      <w:proofErr w:type="spellEnd"/>
      <w:r>
        <w:rPr>
          <w:rFonts w:ascii="Times New Roman" w:hAnsi="Times New Roman" w:cs="Times New Roman"/>
          <w:lang w:val="en-US"/>
        </w:rPr>
        <w:t xml:space="preserve">, art.77 p.3 al </w:t>
      </w:r>
      <w:proofErr w:type="spellStart"/>
      <w:r>
        <w:rPr>
          <w:rFonts w:ascii="Times New Roman" w:hAnsi="Times New Roman" w:cs="Times New Roman"/>
          <w:lang w:val="en-US"/>
        </w:rPr>
        <w:t>Legii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administrația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locală</w:t>
      </w:r>
      <w:proofErr w:type="spellEnd"/>
      <w:r>
        <w:rPr>
          <w:rFonts w:ascii="Times New Roman" w:hAnsi="Times New Roman" w:cs="Times New Roman"/>
          <w:lang w:val="en-US"/>
        </w:rPr>
        <w:t>(nr.436-XVI din 28.12.2006),art.9 (2)</w:t>
      </w:r>
      <w:proofErr w:type="spellStart"/>
      <w:r>
        <w:rPr>
          <w:rFonts w:ascii="Times New Roman" w:hAnsi="Times New Roman" w:cs="Times New Roman"/>
          <w:lang w:val="en-US"/>
        </w:rPr>
        <w:t>lit.h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privind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și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deetatizarea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proprietății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publice</w:t>
      </w:r>
      <w:proofErr w:type="spellEnd"/>
      <w:r>
        <w:rPr>
          <w:rFonts w:ascii="Times New Roman" w:hAnsi="Times New Roman" w:cs="Times New Roman"/>
          <w:lang w:val="en-US"/>
        </w:rPr>
        <w:t xml:space="preserve"> (nr.121-XVI din 04.05.2007),  art.875-910 </w:t>
      </w:r>
      <w:proofErr w:type="spellStart"/>
      <w:r>
        <w:rPr>
          <w:rFonts w:ascii="Times New Roman" w:hAnsi="Times New Roman" w:cs="Times New Roman"/>
          <w:lang w:val="en-US"/>
        </w:rPr>
        <w:t>Codul</w:t>
      </w:r>
      <w:proofErr w:type="spellEnd"/>
      <w:r>
        <w:rPr>
          <w:rFonts w:ascii="Times New Roman" w:hAnsi="Times New Roman" w:cs="Times New Roman"/>
          <w:lang w:val="en-US"/>
        </w:rPr>
        <w:t xml:space="preserve"> Civil al RM, HG nr.901 din 31.12.2005 cu </w:t>
      </w:r>
      <w:proofErr w:type="spellStart"/>
      <w:r>
        <w:rPr>
          <w:rFonts w:ascii="Times New Roman" w:hAnsi="Times New Roman" w:cs="Times New Roman"/>
          <w:lang w:val="en-US"/>
        </w:rPr>
        <w:t>privire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aprobarea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Regulamentului</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privire</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transmitere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bunurilor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publică</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anexa</w:t>
      </w:r>
      <w:proofErr w:type="spellEnd"/>
      <w:r>
        <w:rPr>
          <w:rFonts w:ascii="Times New Roman" w:hAnsi="Times New Roman" w:cs="Times New Roman"/>
          <w:lang w:val="en-US"/>
        </w:rPr>
        <w:t xml:space="preserve"> nr.7 a </w:t>
      </w:r>
      <w:proofErr w:type="spellStart"/>
      <w:r>
        <w:rPr>
          <w:rFonts w:ascii="Times New Roman" w:hAnsi="Times New Roman" w:cs="Times New Roman"/>
          <w:lang w:val="en-US"/>
        </w:rPr>
        <w:t>Legii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bugetului</w:t>
      </w:r>
      <w:proofErr w:type="spellEnd"/>
      <w:r>
        <w:rPr>
          <w:rFonts w:ascii="Times New Roman" w:hAnsi="Times New Roman" w:cs="Times New Roman"/>
          <w:lang w:val="en-US"/>
        </w:rPr>
        <w:t xml:space="preserve"> de Stat </w:t>
      </w:r>
      <w:proofErr w:type="spellStart"/>
      <w:r>
        <w:rPr>
          <w:rFonts w:ascii="Times New Roman" w:hAnsi="Times New Roman" w:cs="Times New Roman"/>
          <w:lang w:val="en-US"/>
        </w:rPr>
        <w:t>pentru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anul</w:t>
      </w:r>
      <w:proofErr w:type="spellEnd"/>
      <w:r>
        <w:rPr>
          <w:rFonts w:ascii="Times New Roman" w:hAnsi="Times New Roman" w:cs="Times New Roman"/>
          <w:lang w:val="en-US"/>
        </w:rPr>
        <w:t xml:space="preserve"> 2018 (nr.289 din 15.12.2017).</w:t>
      </w:r>
    </w:p>
    <w:p w:rsidR="004B00F1" w:rsidRDefault="004B00F1" w:rsidP="004B00F1">
      <w:pPr>
        <w:rPr>
          <w:rFonts w:ascii="Times New Roman" w:hAnsi="Times New Roman" w:cs="Times New Roman"/>
          <w:lang w:val="ro-RO"/>
        </w:rPr>
      </w:pPr>
      <w:r>
        <w:rPr>
          <w:rFonts w:ascii="Times New Roman" w:hAnsi="Times New Roman" w:cs="Times New Roman"/>
          <w:lang w:val="ro-RO"/>
        </w:rPr>
        <w:t>4. Aprobara proiectului  dat de decizie nu necisită surse financiare suplimentare.</w:t>
      </w:r>
    </w:p>
    <w:p w:rsidR="004B00F1" w:rsidRDefault="004B00F1" w:rsidP="004B00F1">
      <w:pPr>
        <w:rPr>
          <w:rFonts w:ascii="Times New Roman" w:hAnsi="Times New Roman" w:cs="Times New Roman"/>
          <w:lang w:val="ro-RO"/>
        </w:rPr>
      </w:pPr>
      <w:r>
        <w:rPr>
          <w:rFonts w:ascii="Times New Roman" w:hAnsi="Times New Roman" w:cs="Times New Roman"/>
          <w:lang w:val="ro-RO"/>
        </w:rPr>
        <w:t>5.Avizarea și consultarea publică a proiectului.</w:t>
      </w:r>
    </w:p>
    <w:p w:rsidR="004B00F1" w:rsidRDefault="004B00F1" w:rsidP="004B00F1">
      <w:pPr>
        <w:rPr>
          <w:rFonts w:ascii="Times New Roman" w:hAnsi="Times New Roman" w:cs="Times New Roman"/>
          <w:lang w:val="ro-RO"/>
        </w:rPr>
      </w:pPr>
      <w:r>
        <w:rPr>
          <w:rFonts w:ascii="Times New Roman" w:hAnsi="Times New Roman" w:cs="Times New Roman"/>
          <w:lang w:val="ro-RO"/>
        </w:rPr>
        <w:t xml:space="preserve">În scopul respectării prevederilor  legii nr.239 din 13.11.2008 privind transparența în procesul decizional și Legii nr.100 din 22.12.2017 cu privire la actele normative, anunțul cu privire la inițierea elaborării  proiectului  de decizie precum șî proiectul de decizie cu toate explicațiile de rigore a fost plasat pe pagina web a primăriei Pîrlița </w:t>
      </w:r>
      <w:hyperlink r:id="rId4" w:history="1">
        <w:r w:rsidRPr="004B00F1">
          <w:rPr>
            <w:rStyle w:val="Hyperlink"/>
            <w:lang w:val="en-US"/>
          </w:rPr>
          <w:t>http://pirlita.sat.md</w:t>
        </w:r>
      </w:hyperlink>
    </w:p>
    <w:p w:rsidR="004B00F1" w:rsidRDefault="004B00F1" w:rsidP="004B00F1">
      <w:pPr>
        <w:rPr>
          <w:rFonts w:ascii="Times New Roman" w:hAnsi="Times New Roman" w:cs="Times New Roman"/>
          <w:lang w:val="ro-RO"/>
        </w:rPr>
      </w:pPr>
      <w:r>
        <w:rPr>
          <w:rFonts w:ascii="Times New Roman" w:hAnsi="Times New Roman" w:cs="Times New Roman"/>
          <w:lang w:val="ro-RO"/>
        </w:rPr>
        <w:t>Proiectul de decizie se prezință comisiilor de specialitate pentru avizare .</w:t>
      </w:r>
    </w:p>
    <w:p w:rsidR="004B00F1" w:rsidRDefault="004B00F1" w:rsidP="004B00F1">
      <w:pPr>
        <w:rPr>
          <w:rFonts w:ascii="Times New Roman" w:hAnsi="Times New Roman" w:cs="Times New Roman"/>
          <w:lang w:val="ro-RO"/>
        </w:rPr>
      </w:pPr>
      <w:r>
        <w:rPr>
          <w:rFonts w:ascii="Times New Roman" w:hAnsi="Times New Roman" w:cs="Times New Roman"/>
          <w:lang w:val="ro-RO"/>
        </w:rPr>
        <w:t>6. Constatările expertizei juridice</w:t>
      </w:r>
    </w:p>
    <w:p w:rsidR="004B00F1" w:rsidRDefault="004B00F1" w:rsidP="004B00F1">
      <w:pPr>
        <w:rPr>
          <w:rFonts w:ascii="Times New Roman" w:hAnsi="Times New Roman" w:cs="Times New Roman"/>
          <w:lang w:val="ro-RO"/>
        </w:rPr>
      </w:pPr>
      <w:r>
        <w:rPr>
          <w:rFonts w:ascii="Times New Roman" w:hAnsi="Times New Roman" w:cs="Times New Roman"/>
          <w:lang w:val="ro-RO"/>
        </w:rPr>
        <w:t>Proiectul de decizie este elaborat în conformitate cu legislația în vigoare Chestiunea propusă spre examinare ține de competența Consiliului comunal.</w:t>
      </w:r>
    </w:p>
    <w:p w:rsidR="004B00F1" w:rsidRDefault="004B00F1" w:rsidP="004B00F1">
      <w:pPr>
        <w:rPr>
          <w:rFonts w:ascii="Times New Roman" w:hAnsi="Times New Roman" w:cs="Times New Roman"/>
          <w:lang w:val="ro-RO"/>
        </w:rPr>
      </w:pPr>
    </w:p>
    <w:p w:rsidR="004B00F1" w:rsidRDefault="004B00F1" w:rsidP="004B00F1">
      <w:pPr>
        <w:rPr>
          <w:rFonts w:ascii="Times New Roman" w:hAnsi="Times New Roman" w:cs="Times New Roman"/>
          <w:lang w:val="ro-RO"/>
        </w:rPr>
      </w:pPr>
      <w:r>
        <w:rPr>
          <w:rFonts w:ascii="Times New Roman" w:hAnsi="Times New Roman" w:cs="Times New Roman"/>
          <w:lang w:val="ro-RO"/>
        </w:rPr>
        <w:t xml:space="preserve"> A elaborat:</w:t>
      </w:r>
    </w:p>
    <w:p w:rsidR="004B00F1" w:rsidRDefault="004B00F1" w:rsidP="004B00F1">
      <w:pPr>
        <w:rPr>
          <w:rFonts w:ascii="Times New Roman" w:hAnsi="Times New Roman" w:cs="Times New Roman"/>
          <w:lang w:val="ro-RO"/>
        </w:rPr>
      </w:pPr>
      <w:r>
        <w:rPr>
          <w:rFonts w:ascii="Times New Roman" w:hAnsi="Times New Roman" w:cs="Times New Roman"/>
          <w:lang w:val="ro-RO"/>
        </w:rPr>
        <w:t>Ciobanu Diana,</w:t>
      </w:r>
    </w:p>
    <w:p w:rsidR="00D742CD" w:rsidRPr="00BD71D3" w:rsidRDefault="004B00F1">
      <w:pPr>
        <w:rPr>
          <w:rFonts w:ascii="Times New Roman" w:hAnsi="Times New Roman" w:cs="Times New Roman"/>
          <w:lang w:val="ro-RO"/>
        </w:rPr>
      </w:pPr>
      <w:r>
        <w:rPr>
          <w:rFonts w:ascii="Times New Roman" w:hAnsi="Times New Roman" w:cs="Times New Roman"/>
          <w:lang w:val="ro-RO"/>
        </w:rPr>
        <w:t>Secretarul consiliului comunal Pîrlița</w:t>
      </w:r>
      <w:bookmarkStart w:id="0" w:name="_GoBack"/>
      <w:bookmarkEnd w:id="0"/>
    </w:p>
    <w:sectPr w:rsidR="00D742CD" w:rsidRPr="00BD71D3" w:rsidSect="00D74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00F1"/>
    <w:rsid w:val="000B6FF3"/>
    <w:rsid w:val="004B00F1"/>
    <w:rsid w:val="00BD71D3"/>
    <w:rsid w:val="00D7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4E65"/>
  <w15:docId w15:val="{AD49ADB8-F3EB-4B42-9C33-E32F4CC0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0F1"/>
  </w:style>
  <w:style w:type="paragraph" w:styleId="Titlu2">
    <w:name w:val="heading 2"/>
    <w:basedOn w:val="Normal"/>
    <w:next w:val="Normal"/>
    <w:link w:val="Titlu2Caracter"/>
    <w:semiHidden/>
    <w:unhideWhenUsed/>
    <w:qFormat/>
    <w:rsid w:val="004B00F1"/>
    <w:pPr>
      <w:keepNext/>
      <w:spacing w:after="0" w:line="240" w:lineRule="auto"/>
      <w:jc w:val="center"/>
      <w:outlineLvl w:val="1"/>
    </w:pPr>
    <w:rPr>
      <w:rFonts w:ascii="Times New Roman" w:eastAsia="Times New Roman" w:hAnsi="Times New Roman" w:cs="Times New Roman"/>
      <w:b/>
      <w:sz w:val="20"/>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4B00F1"/>
    <w:rPr>
      <w:rFonts w:ascii="Times New Roman" w:eastAsia="Times New Roman" w:hAnsi="Times New Roman" w:cs="Times New Roman"/>
      <w:b/>
      <w:sz w:val="20"/>
      <w:szCs w:val="20"/>
      <w:lang w:val="ro-RO" w:eastAsia="ru-RU"/>
    </w:rPr>
  </w:style>
  <w:style w:type="character" w:styleId="Hyperlink">
    <w:name w:val="Hyperlink"/>
    <w:basedOn w:val="Fontdeparagrafimplicit"/>
    <w:uiPriority w:val="99"/>
    <w:semiHidden/>
    <w:unhideWhenUsed/>
    <w:rsid w:val="004B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irlita.sat.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3605</Characters>
  <Application>Microsoft Office Word</Application>
  <DocSecurity>0</DocSecurity>
  <Lines>30</Lines>
  <Paragraphs>8</Paragraphs>
  <ScaleCrop>false</ScaleCrop>
  <Company>CtrlSoft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dc:creator>
  <cp:keywords/>
  <dc:description/>
  <cp:lastModifiedBy>User111111883</cp:lastModifiedBy>
  <cp:revision>4</cp:revision>
  <dcterms:created xsi:type="dcterms:W3CDTF">2018-12-08T09:04:00Z</dcterms:created>
  <dcterms:modified xsi:type="dcterms:W3CDTF">2018-12-08T09:15:00Z</dcterms:modified>
</cp:coreProperties>
</file>